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10D" w:rsidRPr="00DC3525" w:rsidRDefault="00DC3525" w:rsidP="00EB110D">
      <w:pPr>
        <w:spacing w:before="100" w:beforeAutospacing="1" w:after="100" w:afterAutospacing="1" w:line="240" w:lineRule="auto"/>
        <w:outlineLvl w:val="0"/>
        <w:rPr>
          <w:rFonts w:eastAsia="Times New Roman" w:cstheme="minorHAnsi"/>
          <w:b/>
          <w:bCs/>
          <w:kern w:val="36"/>
          <w:sz w:val="24"/>
          <w:szCs w:val="24"/>
          <w:lang w:eastAsia="pl-PL"/>
          <w14:ligatures w14:val="none"/>
        </w:rPr>
      </w:pPr>
      <w:r w:rsidRPr="00DC3525">
        <w:rPr>
          <w:rFonts w:eastAsia="Times New Roman" w:cstheme="minorHAnsi"/>
          <w:b/>
          <w:bCs/>
          <w:kern w:val="36"/>
          <w:sz w:val="24"/>
          <w:szCs w:val="24"/>
          <w:lang w:eastAsia="pl-PL"/>
          <w14:ligatures w14:val="none"/>
        </w:rPr>
        <w:t>Chroń hasło i login do banku!</w:t>
      </w:r>
    </w:p>
    <w:p w:rsidR="00EB110D" w:rsidRDefault="00EB110D" w:rsidP="00EB110D">
      <w:pPr>
        <w:spacing w:before="100" w:beforeAutospacing="1" w:after="0" w:line="240" w:lineRule="auto"/>
        <w:rPr>
          <w:rFonts w:eastAsia="Times New Roman" w:cstheme="minorHAnsi"/>
          <w:kern w:val="0"/>
          <w:lang w:eastAsia="pl-PL"/>
          <w14:ligatures w14:val="none"/>
        </w:rPr>
      </w:pPr>
      <w:r w:rsidRPr="00EB110D">
        <w:rPr>
          <w:rFonts w:eastAsia="Times New Roman" w:cstheme="minorHAnsi"/>
          <w:i/>
          <w:iCs/>
          <w:kern w:val="0"/>
          <w:lang w:eastAsia="pl-PL"/>
          <w14:ligatures w14:val="none"/>
        </w:rPr>
        <w:t xml:space="preserve">„Pamiętaj, jeżeli dzwonią do Ciebie z propozycją kredytu lub pożyczki, zawsze możesz się nie zgodzić. Ale jeżeli pan lub pani z banku poprosi Cię o PIN do Twojej karty albo o zainstalowanie czegoś w Twoim telefonie, to nie z Tobą takie numery. Ty już wiesz, że nie udostępniasz nikomu swoich danych ani telefonu, tak jak kluczy do swojego mieszkania. Nikomu obcemu nigdy nie daj się nabrać metodą na inkasenta, policjanta czy też na pracownika banku” </w:t>
      </w:r>
      <w:r w:rsidRPr="00EB110D">
        <w:rPr>
          <w:rFonts w:eastAsia="Times New Roman" w:cstheme="minorHAnsi"/>
          <w:kern w:val="0"/>
          <w:lang w:eastAsia="pl-PL"/>
          <w14:ligatures w14:val="none"/>
        </w:rPr>
        <w:t xml:space="preserve">– przestrzega </w:t>
      </w:r>
      <w:r w:rsidRPr="00EB110D">
        <w:rPr>
          <w:rFonts w:eastAsia="Times New Roman" w:cstheme="minorHAnsi"/>
          <w:b/>
          <w:bCs/>
          <w:kern w:val="0"/>
          <w:lang w:eastAsia="pl-PL"/>
          <w14:ligatures w14:val="none"/>
        </w:rPr>
        <w:t>Jerzy Kryszak</w:t>
      </w:r>
      <w:r w:rsidRPr="00EB110D">
        <w:rPr>
          <w:rFonts w:eastAsia="Times New Roman" w:cstheme="minorHAnsi"/>
          <w:kern w:val="0"/>
          <w:lang w:eastAsia="pl-PL"/>
          <w14:ligatures w14:val="none"/>
        </w:rPr>
        <w:t>. </w:t>
      </w:r>
    </w:p>
    <w:p w:rsidR="00EB110D" w:rsidRPr="00EB110D" w:rsidRDefault="00EB110D" w:rsidP="00EB110D">
      <w:pPr>
        <w:spacing w:after="0" w:line="240" w:lineRule="auto"/>
        <w:rPr>
          <w:rFonts w:eastAsia="Times New Roman" w:cstheme="minorHAnsi"/>
          <w:kern w:val="0"/>
          <w:lang w:eastAsia="pl-PL"/>
          <w14:ligatures w14:val="none"/>
        </w:rPr>
      </w:pPr>
      <w:r w:rsidRPr="00EB110D">
        <w:rPr>
          <w:rFonts w:eastAsia="Times New Roman" w:cstheme="minorHAnsi"/>
          <w:kern w:val="0"/>
          <w:lang w:eastAsia="pl-PL"/>
          <w14:ligatures w14:val="none"/>
        </w:rPr>
        <w:br/>
        <w:t xml:space="preserve">Wirtualna przestrzeń to szanse, ale też zagrożenia. Na każdym kroku należy zachować rozsądek i wiedzieć, jak się zachowywać w cyberprzestrzeni. Dlatego w ramach kampanii „Bankowcy dla </w:t>
      </w:r>
      <w:proofErr w:type="spellStart"/>
      <w:r w:rsidRPr="00EB110D">
        <w:rPr>
          <w:rFonts w:eastAsia="Times New Roman" w:cstheme="minorHAnsi"/>
          <w:kern w:val="0"/>
          <w:lang w:eastAsia="pl-PL"/>
          <w14:ligatures w14:val="none"/>
        </w:rPr>
        <w:t>CyberEdukacji</w:t>
      </w:r>
      <w:proofErr w:type="spellEnd"/>
      <w:r w:rsidRPr="00EB110D">
        <w:rPr>
          <w:rFonts w:eastAsia="Times New Roman" w:cstheme="minorHAnsi"/>
          <w:kern w:val="0"/>
          <w:lang w:eastAsia="pl-PL"/>
          <w14:ligatures w14:val="none"/>
        </w:rPr>
        <w:t>” powstał cykl krótkich filmów, w których popularni artyści i prezenterzy telewizyjni opowiadają, jak w sposób świadomy, odpowiedzialny i bezpieczny korzystać z dobrodziejstw cyfrowej rzeczywistości.</w:t>
      </w:r>
      <w:r w:rsidRPr="00EB110D">
        <w:rPr>
          <w:rFonts w:eastAsia="Times New Roman" w:cstheme="minorHAnsi"/>
          <w:kern w:val="0"/>
          <w:lang w:eastAsia="pl-PL"/>
          <w14:ligatures w14:val="none"/>
        </w:rPr>
        <w:br/>
      </w:r>
      <w:r w:rsidRPr="00EB110D">
        <w:rPr>
          <w:rFonts w:eastAsia="Times New Roman" w:cstheme="minorHAnsi"/>
          <w:kern w:val="0"/>
          <w:lang w:eastAsia="pl-PL"/>
          <w14:ligatures w14:val="none"/>
        </w:rPr>
        <w:br/>
        <w:t xml:space="preserve">Czy wiesz, że pracownik banku, który dzwoni do Ciebie z numeru Twojego banku, może okazać się cyberprzestępcą? Jak reagować w takiej sytuacji – opowiada </w:t>
      </w:r>
      <w:r w:rsidRPr="00EB110D">
        <w:rPr>
          <w:rFonts w:eastAsia="Times New Roman" w:cstheme="minorHAnsi"/>
          <w:b/>
          <w:bCs/>
          <w:kern w:val="0"/>
          <w:lang w:eastAsia="pl-PL"/>
          <w14:ligatures w14:val="none"/>
        </w:rPr>
        <w:t>Jerzy Kryszak</w:t>
      </w:r>
      <w:r w:rsidRPr="00EB110D">
        <w:rPr>
          <w:rFonts w:eastAsia="Times New Roman" w:cstheme="minorHAnsi"/>
          <w:kern w:val="0"/>
          <w:lang w:eastAsia="pl-PL"/>
          <w14:ligatures w14:val="none"/>
        </w:rPr>
        <w:t xml:space="preserve"> w filmie </w:t>
      </w:r>
      <w:r w:rsidRPr="00EB110D">
        <w:rPr>
          <w:rFonts w:cstheme="minorHAnsi"/>
          <w:kern w:val="0"/>
        </w:rPr>
        <w:t>poniżej:</w:t>
      </w:r>
      <w:r w:rsidRPr="00EB110D">
        <w:rPr>
          <w:rFonts w:cstheme="minorHAnsi"/>
          <w:kern w:val="0"/>
        </w:rPr>
        <w:br/>
      </w:r>
      <w:r w:rsidRPr="00EB110D">
        <w:rPr>
          <w:rFonts w:eastAsia="Times New Roman" w:cstheme="minorHAnsi"/>
          <w:kern w:val="0"/>
          <w:lang w:eastAsia="pl-PL"/>
          <w14:ligatures w14:val="none"/>
        </w:rPr>
        <w:br/>
      </w:r>
      <w:hyperlink r:id="rId5" w:history="1">
        <w:r w:rsidRPr="00EB110D">
          <w:rPr>
            <w:rStyle w:val="Hipercze"/>
            <w:rFonts w:eastAsia="Times New Roman" w:cstheme="minorHAnsi"/>
            <w:kern w:val="0"/>
            <w:lang w:eastAsia="pl-PL"/>
            <w14:ligatures w14:val="none"/>
          </w:rPr>
          <w:t>https://www.youtube.com/watch?v=F63POi491UY</w:t>
        </w:r>
      </w:hyperlink>
    </w:p>
    <w:p w:rsidR="00EB110D" w:rsidRPr="00EB110D" w:rsidRDefault="00EB110D" w:rsidP="00EB110D">
      <w:pPr>
        <w:spacing w:before="100" w:beforeAutospacing="1" w:after="100" w:afterAutospacing="1" w:line="240" w:lineRule="auto"/>
        <w:rPr>
          <w:rFonts w:eastAsia="Times New Roman" w:cstheme="minorHAnsi"/>
          <w:kern w:val="0"/>
          <w:lang w:eastAsia="pl-PL"/>
          <w14:ligatures w14:val="none"/>
        </w:rPr>
      </w:pPr>
      <w:r w:rsidRPr="00EB110D">
        <w:rPr>
          <w:rFonts w:eastAsia="Times New Roman" w:cstheme="minorHAnsi"/>
          <w:kern w:val="0"/>
          <w:lang w:eastAsia="pl-PL"/>
          <w14:ligatures w14:val="none"/>
        </w:rPr>
        <w:t xml:space="preserve">Związek Banków Polskich, Fundacja Warszawski Instytut Bankowości, Bankowe Centrum </w:t>
      </w:r>
      <w:proofErr w:type="spellStart"/>
      <w:r w:rsidRPr="00EB110D">
        <w:rPr>
          <w:rFonts w:eastAsia="Times New Roman" w:cstheme="minorHAnsi"/>
          <w:kern w:val="0"/>
          <w:lang w:eastAsia="pl-PL"/>
          <w14:ligatures w14:val="none"/>
        </w:rPr>
        <w:t>Cyberbezpieczeństwa</w:t>
      </w:r>
      <w:proofErr w:type="spellEnd"/>
      <w:r w:rsidRPr="00EB110D">
        <w:rPr>
          <w:rFonts w:eastAsia="Times New Roman" w:cstheme="minorHAnsi"/>
          <w:kern w:val="0"/>
          <w:lang w:eastAsia="pl-PL"/>
          <w14:ligatures w14:val="none"/>
        </w:rPr>
        <w:t xml:space="preserve"> oraz banki we współpracy z Policją łączą siły w walce z </w:t>
      </w:r>
      <w:proofErr w:type="spellStart"/>
      <w:r w:rsidRPr="00EB110D">
        <w:rPr>
          <w:rFonts w:eastAsia="Times New Roman" w:cstheme="minorHAnsi"/>
          <w:kern w:val="0"/>
          <w:lang w:eastAsia="pl-PL"/>
          <w14:ligatures w14:val="none"/>
        </w:rPr>
        <w:t>cyberzagrożeniami</w:t>
      </w:r>
      <w:proofErr w:type="spellEnd"/>
      <w:r w:rsidRPr="00EB110D">
        <w:rPr>
          <w:rFonts w:eastAsia="Times New Roman" w:cstheme="minorHAnsi"/>
          <w:kern w:val="0"/>
          <w:lang w:eastAsia="pl-PL"/>
          <w14:ligatures w14:val="none"/>
        </w:rPr>
        <w:t xml:space="preserve">. Kampania „Bankowcy dla </w:t>
      </w:r>
      <w:proofErr w:type="spellStart"/>
      <w:r w:rsidRPr="00EB110D">
        <w:rPr>
          <w:rFonts w:eastAsia="Times New Roman" w:cstheme="minorHAnsi"/>
          <w:kern w:val="0"/>
          <w:lang w:eastAsia="pl-PL"/>
          <w14:ligatures w14:val="none"/>
        </w:rPr>
        <w:t>CyberEdukacji</w:t>
      </w:r>
      <w:proofErr w:type="spellEnd"/>
      <w:r w:rsidRPr="00EB110D">
        <w:rPr>
          <w:rFonts w:eastAsia="Times New Roman" w:cstheme="minorHAnsi"/>
          <w:kern w:val="0"/>
          <w:lang w:eastAsia="pl-PL"/>
          <w14:ligatures w14:val="none"/>
        </w:rPr>
        <w:t>” ma na celu uświadomienie społeczeństwa o ryzykach związanych z korzystaniem z Internetu oraz przekazanie praktycznych wskazówek, jak chronić swoje dane.</w:t>
      </w:r>
      <w:r w:rsidRPr="00EB110D">
        <w:rPr>
          <w:rFonts w:eastAsia="Times New Roman" w:cstheme="minorHAnsi"/>
          <w:kern w:val="0"/>
          <w:lang w:eastAsia="pl-PL"/>
          <w14:ligatures w14:val="none"/>
        </w:rPr>
        <w:br/>
      </w:r>
      <w:r w:rsidRPr="00EB110D">
        <w:rPr>
          <w:rFonts w:eastAsia="Times New Roman" w:cstheme="minorHAnsi"/>
          <w:kern w:val="0"/>
          <w:lang w:eastAsia="pl-PL"/>
          <w14:ligatures w14:val="none"/>
        </w:rPr>
        <w:br/>
      </w:r>
      <w:r w:rsidRPr="00EB110D">
        <w:rPr>
          <w:rFonts w:eastAsia="Times New Roman" w:cstheme="minorHAnsi"/>
          <w:b/>
          <w:bCs/>
          <w:kern w:val="0"/>
          <w:lang w:eastAsia="pl-PL"/>
          <w14:ligatures w14:val="none"/>
        </w:rPr>
        <w:t xml:space="preserve">Związek Banków Polskich, Fundacji Warszawski Instytut Bankowości, Bankowe Centrum </w:t>
      </w:r>
      <w:proofErr w:type="spellStart"/>
      <w:r w:rsidRPr="00EB110D">
        <w:rPr>
          <w:rFonts w:eastAsia="Times New Roman" w:cstheme="minorHAnsi"/>
          <w:b/>
          <w:bCs/>
          <w:kern w:val="0"/>
          <w:lang w:eastAsia="pl-PL"/>
          <w14:ligatures w14:val="none"/>
        </w:rPr>
        <w:t>Cyberbezpieczeństwa</w:t>
      </w:r>
      <w:proofErr w:type="spellEnd"/>
      <w:r w:rsidRPr="00EB110D">
        <w:rPr>
          <w:rFonts w:eastAsia="Times New Roman" w:cstheme="minorHAnsi"/>
          <w:b/>
          <w:bCs/>
          <w:kern w:val="0"/>
          <w:lang w:eastAsia="pl-PL"/>
          <w14:ligatures w14:val="none"/>
        </w:rPr>
        <w:t xml:space="preserve"> oraz banki we współpracy z Policją apelują:</w:t>
      </w:r>
    </w:p>
    <w:p w:rsidR="00EB110D" w:rsidRPr="00EB110D" w:rsidRDefault="00EB110D" w:rsidP="00EB110D">
      <w:pPr>
        <w:numPr>
          <w:ilvl w:val="0"/>
          <w:numId w:val="2"/>
        </w:numPr>
        <w:spacing w:before="100" w:beforeAutospacing="1" w:after="100" w:afterAutospacing="1" w:line="240" w:lineRule="auto"/>
        <w:rPr>
          <w:rFonts w:eastAsia="Times New Roman" w:cstheme="minorHAnsi"/>
          <w:kern w:val="0"/>
          <w:lang w:eastAsia="pl-PL"/>
          <w14:ligatures w14:val="none"/>
        </w:rPr>
      </w:pPr>
      <w:r w:rsidRPr="00EB110D">
        <w:rPr>
          <w:rFonts w:eastAsia="Times New Roman" w:cstheme="minorHAnsi"/>
          <w:kern w:val="0"/>
          <w:lang w:eastAsia="pl-PL"/>
          <w14:ligatures w14:val="none"/>
        </w:rPr>
        <w:t>Pamiętaj, że każdy, kto zadzwoni do Ciebie i żąda podania danych, np. kodów blik lub haseł do logowania do konta, kodów autoryzacyjnych, to stuprocentowy oszust!</w:t>
      </w:r>
    </w:p>
    <w:p w:rsidR="00EB110D" w:rsidRPr="00EB110D" w:rsidRDefault="00EB110D" w:rsidP="00EB110D">
      <w:pPr>
        <w:numPr>
          <w:ilvl w:val="0"/>
          <w:numId w:val="2"/>
        </w:numPr>
        <w:spacing w:before="100" w:beforeAutospacing="1" w:after="100" w:afterAutospacing="1" w:line="240" w:lineRule="auto"/>
        <w:rPr>
          <w:rFonts w:eastAsia="Times New Roman" w:cstheme="minorHAnsi"/>
          <w:kern w:val="0"/>
          <w:lang w:eastAsia="pl-PL"/>
          <w14:ligatures w14:val="none"/>
        </w:rPr>
      </w:pPr>
      <w:r w:rsidRPr="00EB110D">
        <w:rPr>
          <w:rFonts w:eastAsia="Times New Roman" w:cstheme="minorHAnsi"/>
          <w:kern w:val="0"/>
          <w:lang w:eastAsia="pl-PL"/>
          <w14:ligatures w14:val="none"/>
        </w:rPr>
        <w:t>Nieważne za kogo się podaje i z jakiego numeru dzwoni, a nawet, że zna Twoje imię i nazwisko. To przekręt, w efekcie którego możesz stracić swoje oszczędności.</w:t>
      </w:r>
    </w:p>
    <w:p w:rsidR="00EB110D" w:rsidRPr="00EB110D" w:rsidRDefault="00EB110D" w:rsidP="00EB110D">
      <w:pPr>
        <w:numPr>
          <w:ilvl w:val="0"/>
          <w:numId w:val="2"/>
        </w:numPr>
        <w:spacing w:before="100" w:beforeAutospacing="1" w:after="100" w:afterAutospacing="1" w:line="240" w:lineRule="auto"/>
        <w:rPr>
          <w:rFonts w:eastAsia="Times New Roman" w:cstheme="minorHAnsi"/>
          <w:kern w:val="0"/>
          <w:lang w:eastAsia="pl-PL"/>
          <w14:ligatures w14:val="none"/>
        </w:rPr>
      </w:pPr>
      <w:r w:rsidRPr="00EB110D">
        <w:rPr>
          <w:rFonts w:eastAsia="Times New Roman" w:cstheme="minorHAnsi"/>
          <w:kern w:val="0"/>
          <w:lang w:eastAsia="pl-PL"/>
          <w14:ligatures w14:val="none"/>
        </w:rPr>
        <w:t>Cyberprzestępcy są mistrzami manipulacji.  </w:t>
      </w:r>
    </w:p>
    <w:p w:rsidR="00EB110D" w:rsidRDefault="00EB110D" w:rsidP="00EB110D">
      <w:pPr>
        <w:numPr>
          <w:ilvl w:val="0"/>
          <w:numId w:val="2"/>
        </w:numPr>
        <w:spacing w:before="100" w:beforeAutospacing="1" w:after="100" w:afterAutospacing="1" w:line="240" w:lineRule="auto"/>
        <w:rPr>
          <w:rFonts w:eastAsia="Times New Roman" w:cstheme="minorHAnsi"/>
          <w:kern w:val="0"/>
          <w:lang w:eastAsia="pl-PL"/>
          <w14:ligatures w14:val="none"/>
        </w:rPr>
      </w:pPr>
      <w:r w:rsidRPr="00EB110D">
        <w:rPr>
          <w:rFonts w:eastAsia="Times New Roman" w:cstheme="minorHAnsi"/>
          <w:kern w:val="0"/>
          <w:lang w:eastAsia="pl-PL"/>
          <w14:ligatures w14:val="none"/>
        </w:rPr>
        <w:t xml:space="preserve">Więcej informacji o </w:t>
      </w:r>
      <w:proofErr w:type="spellStart"/>
      <w:r w:rsidRPr="00EB110D">
        <w:rPr>
          <w:rFonts w:eastAsia="Times New Roman" w:cstheme="minorHAnsi"/>
          <w:kern w:val="0"/>
          <w:lang w:eastAsia="pl-PL"/>
          <w14:ligatures w14:val="none"/>
        </w:rPr>
        <w:t>cyberbezpieczeństwie</w:t>
      </w:r>
      <w:proofErr w:type="spellEnd"/>
      <w:r w:rsidRPr="00EB110D">
        <w:rPr>
          <w:rFonts w:eastAsia="Times New Roman" w:cstheme="minorHAnsi"/>
          <w:kern w:val="0"/>
          <w:lang w:eastAsia="pl-PL"/>
          <w14:ligatures w14:val="none"/>
        </w:rPr>
        <w:t xml:space="preserve"> szukaj we własnym banku.</w:t>
      </w:r>
    </w:p>
    <w:p w:rsidR="00DC3525" w:rsidRPr="009672FA" w:rsidRDefault="009672FA" w:rsidP="009672FA">
      <w:pPr>
        <w:pStyle w:val="NormalnyWeb"/>
        <w:spacing w:before="0" w:beforeAutospacing="0" w:after="200" w:afterAutospacing="0" w:line="276" w:lineRule="auto"/>
        <w:rPr>
          <w:rFonts w:ascii="Calibri" w:hAnsi="Calibri" w:cstheme="minorHAnsi"/>
          <w:i/>
          <w:sz w:val="20"/>
          <w:szCs w:val="20"/>
        </w:rPr>
      </w:pPr>
      <w:r>
        <w:rPr>
          <w:rFonts w:ascii="Calibri" w:hAnsi="Calibri" w:cstheme="minorHAnsi"/>
          <w:i/>
          <w:sz w:val="20"/>
          <w:szCs w:val="20"/>
        </w:rPr>
        <w:t>Źródło:</w:t>
      </w:r>
      <w:r>
        <w:t xml:space="preserve"> </w:t>
      </w:r>
      <w:r>
        <w:rPr>
          <w:rFonts w:ascii="Calibri" w:hAnsi="Calibri" w:cstheme="minorHAnsi"/>
          <w:i/>
          <w:sz w:val="20"/>
          <w:szCs w:val="20"/>
        </w:rPr>
        <w:t>zbp.pl</w:t>
      </w:r>
    </w:p>
    <w:p w:rsidR="006C5966" w:rsidRDefault="00EB110D" w:rsidP="00EB110D">
      <w:pPr>
        <w:rPr>
          <w:rFonts w:cstheme="minorHAnsi"/>
        </w:rPr>
      </w:pPr>
      <w:r w:rsidRPr="00EB110D">
        <w:rPr>
          <w:rFonts w:eastAsia="Times New Roman" w:cstheme="minorHAnsi"/>
          <w:noProof/>
          <w:kern w:val="0"/>
          <w:lang w:eastAsia="pl-PL"/>
          <w14:ligatures w14:val="none"/>
        </w:rPr>
        <w:drawing>
          <wp:inline distT="0" distB="0" distL="0" distR="0" wp14:anchorId="55091CE6" wp14:editId="59A6791F">
            <wp:extent cx="5760720" cy="774508"/>
            <wp:effectExtent l="0" t="0" r="0" b="6985"/>
            <wp:docPr id="2" name="Obraz 2" descr="https://zbp.pl/getmedia/746a1b72-edfe-45bd-a5f3-a66a23e6eff0/cy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bp.pl/getmedia/746a1b72-edfe-45bd-a5f3-a66a23e6eff0/cyb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74508"/>
                    </a:xfrm>
                    <a:prstGeom prst="rect">
                      <a:avLst/>
                    </a:prstGeom>
                    <a:noFill/>
                    <a:ln>
                      <a:noFill/>
                    </a:ln>
                  </pic:spPr>
                </pic:pic>
              </a:graphicData>
            </a:graphic>
          </wp:inline>
        </w:drawing>
      </w:r>
    </w:p>
    <w:p w:rsidR="009672FA" w:rsidRDefault="009672FA" w:rsidP="009672FA">
      <w:pPr>
        <w:pStyle w:val="NormalnyWeb"/>
        <w:spacing w:before="0" w:beforeAutospacing="0" w:after="0" w:afterAutospacing="0" w:line="276" w:lineRule="auto"/>
        <w:jc w:val="center"/>
        <w:rPr>
          <w:rFonts w:ascii="Calibri" w:hAnsi="Calibri" w:cstheme="minorHAnsi"/>
          <w:i/>
          <w:sz w:val="20"/>
          <w:szCs w:val="20"/>
        </w:rPr>
      </w:pPr>
    </w:p>
    <w:p w:rsidR="009672FA" w:rsidRDefault="000E1B59" w:rsidP="009672FA">
      <w:pPr>
        <w:pStyle w:val="NormalnyWeb"/>
        <w:spacing w:before="0" w:beforeAutospacing="0" w:after="0" w:afterAutospacing="0" w:line="276" w:lineRule="auto"/>
        <w:jc w:val="center"/>
        <w:rPr>
          <w:rFonts w:ascii="Calibri" w:hAnsi="Calibri" w:cstheme="minorHAnsi"/>
          <w:i/>
          <w:sz w:val="20"/>
          <w:szCs w:val="20"/>
        </w:rPr>
      </w:pPr>
      <w:r>
        <w:rPr>
          <w:rFonts w:ascii="Calibri" w:hAnsi="Calibri" w:cstheme="minorHAnsi"/>
          <w:i/>
          <w:sz w:val="20"/>
          <w:szCs w:val="20"/>
        </w:rPr>
        <w:t>***</w:t>
      </w:r>
    </w:p>
    <w:p w:rsidR="000E1B59" w:rsidRPr="009672FA" w:rsidRDefault="000E1B59" w:rsidP="000E1B59">
      <w:pPr>
        <w:pStyle w:val="NormalnyWeb"/>
        <w:spacing w:before="0" w:beforeAutospacing="0" w:after="0" w:afterAutospacing="0" w:line="276" w:lineRule="auto"/>
        <w:jc w:val="center"/>
        <w:rPr>
          <w:rFonts w:ascii="Calibri" w:hAnsi="Calibri" w:cstheme="minorHAnsi"/>
          <w:i/>
          <w:sz w:val="18"/>
          <w:szCs w:val="18"/>
        </w:rPr>
      </w:pPr>
      <w:r w:rsidRPr="009672FA">
        <w:rPr>
          <w:rFonts w:ascii="Calibri" w:hAnsi="Calibri" w:cstheme="minorHAnsi"/>
          <w:i/>
          <w:sz w:val="18"/>
          <w:szCs w:val="18"/>
        </w:rPr>
        <w:t xml:space="preserve">Program sektorowy „Bankowcy dla Edukacji” to jeden z największych programów edukacji finansowej w Europie. Jest on realizowany od 2016 r. z inicjatywy Związku Banków Polskich przez Warszawski Instytut Bankowości. Jego celem jest edukowanie uczniów, studentów i seniorów w zakresie podstaw praktycznej wiedzy dotyczącej ekonomii, finansów, bankowości, przedsiębiorczości, </w:t>
      </w:r>
      <w:proofErr w:type="spellStart"/>
      <w:r w:rsidRPr="009672FA">
        <w:rPr>
          <w:rFonts w:ascii="Calibri" w:hAnsi="Calibri" w:cstheme="minorHAnsi"/>
          <w:i/>
          <w:sz w:val="18"/>
          <w:szCs w:val="18"/>
        </w:rPr>
        <w:t>cyberbezpieczeństwa</w:t>
      </w:r>
      <w:proofErr w:type="spellEnd"/>
      <w:r w:rsidRPr="009672FA">
        <w:rPr>
          <w:rFonts w:ascii="Calibri" w:hAnsi="Calibri" w:cstheme="minorHAnsi"/>
          <w:i/>
          <w:sz w:val="18"/>
          <w:szCs w:val="18"/>
        </w:rPr>
        <w:t xml:space="preserve"> i obrotu bezgotówkowego.</w:t>
      </w:r>
    </w:p>
    <w:p w:rsidR="000E1B59" w:rsidRDefault="000E1B59" w:rsidP="00DC3525">
      <w:pPr>
        <w:pStyle w:val="NormalnyWeb"/>
        <w:spacing w:before="0" w:beforeAutospacing="0" w:after="200" w:afterAutospacing="0" w:line="276" w:lineRule="auto"/>
        <w:jc w:val="center"/>
        <w:rPr>
          <w:rFonts w:ascii="Calibri" w:hAnsi="Calibri" w:cstheme="minorHAnsi"/>
          <w:b/>
          <w:i/>
          <w:sz w:val="18"/>
          <w:szCs w:val="18"/>
        </w:rPr>
      </w:pPr>
      <w:r w:rsidRPr="009672FA">
        <w:rPr>
          <w:rFonts w:ascii="Calibri" w:hAnsi="Calibri" w:cstheme="minorHAnsi"/>
          <w:i/>
          <w:sz w:val="18"/>
          <w:szCs w:val="18"/>
        </w:rPr>
        <w:t xml:space="preserve">Zapraszamy na stronę </w:t>
      </w:r>
      <w:hyperlink r:id="rId7" w:history="1">
        <w:r w:rsidR="009672FA" w:rsidRPr="000C1380">
          <w:rPr>
            <w:rStyle w:val="Hipercze"/>
            <w:rFonts w:ascii="Calibri" w:hAnsi="Calibri" w:cstheme="minorHAnsi"/>
            <w:b/>
            <w:i/>
            <w:sz w:val="18"/>
            <w:szCs w:val="18"/>
          </w:rPr>
          <w:t>www.bde.wib.org.pl</w:t>
        </w:r>
      </w:hyperlink>
    </w:p>
    <w:p w:rsidR="009672FA" w:rsidRPr="009672FA" w:rsidRDefault="009672FA" w:rsidP="009672FA">
      <w:pPr>
        <w:pStyle w:val="NormalnyWeb"/>
        <w:spacing w:before="0" w:beforeAutospacing="0" w:after="200" w:afterAutospacing="0" w:line="276" w:lineRule="auto"/>
        <w:rPr>
          <w:rFonts w:ascii="Segoe UI" w:hAnsi="Segoe UI" w:cs="Segoe UI"/>
          <w:b/>
          <w:i/>
          <w:sz w:val="18"/>
          <w:szCs w:val="18"/>
        </w:rPr>
      </w:pPr>
      <w:bookmarkStart w:id="0" w:name="_GoBack"/>
      <w:bookmarkEnd w:id="0"/>
    </w:p>
    <w:sectPr w:rsidR="009672FA" w:rsidRPr="00967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7C8"/>
    <w:multiLevelType w:val="multilevel"/>
    <w:tmpl w:val="DCC0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FA2D45"/>
    <w:multiLevelType w:val="multilevel"/>
    <w:tmpl w:val="DD36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0D"/>
    <w:rsid w:val="000E1B59"/>
    <w:rsid w:val="003429CE"/>
    <w:rsid w:val="006C5966"/>
    <w:rsid w:val="009672FA"/>
    <w:rsid w:val="00DC3525"/>
    <w:rsid w:val="00EB1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C149"/>
  <w15:chartTrackingRefBased/>
  <w15:docId w15:val="{0B81BB25-A320-46C8-BE27-145404CD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EB11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110D"/>
    <w:rPr>
      <w:rFonts w:ascii="Times New Roman" w:eastAsia="Times New Roman" w:hAnsi="Times New Roman" w:cs="Times New Roman"/>
      <w:b/>
      <w:bCs/>
      <w:kern w:val="36"/>
      <w:sz w:val="48"/>
      <w:szCs w:val="48"/>
      <w:lang w:eastAsia="pl-PL"/>
      <w14:ligatures w14:val="none"/>
    </w:rPr>
  </w:style>
  <w:style w:type="paragraph" w:styleId="NormalnyWeb">
    <w:name w:val="Normal (Web)"/>
    <w:basedOn w:val="Normalny"/>
    <w:uiPriority w:val="99"/>
    <w:unhideWhenUsed/>
    <w:rsid w:val="00EB110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EB110D"/>
    <w:rPr>
      <w:i/>
      <w:iCs/>
    </w:rPr>
  </w:style>
  <w:style w:type="character" w:styleId="Pogrubienie">
    <w:name w:val="Strong"/>
    <w:basedOn w:val="Domylnaczcionkaakapitu"/>
    <w:uiPriority w:val="22"/>
    <w:qFormat/>
    <w:rsid w:val="00EB110D"/>
    <w:rPr>
      <w:b/>
      <w:bCs/>
    </w:rPr>
  </w:style>
  <w:style w:type="character" w:styleId="Hipercze">
    <w:name w:val="Hyperlink"/>
    <w:basedOn w:val="Domylnaczcionkaakapitu"/>
    <w:uiPriority w:val="99"/>
    <w:unhideWhenUsed/>
    <w:rsid w:val="00EB1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6345">
      <w:bodyDiv w:val="1"/>
      <w:marLeft w:val="0"/>
      <w:marRight w:val="0"/>
      <w:marTop w:val="0"/>
      <w:marBottom w:val="0"/>
      <w:divBdr>
        <w:top w:val="none" w:sz="0" w:space="0" w:color="auto"/>
        <w:left w:val="none" w:sz="0" w:space="0" w:color="auto"/>
        <w:bottom w:val="none" w:sz="0" w:space="0" w:color="auto"/>
        <w:right w:val="none" w:sz="0" w:space="0" w:color="auto"/>
      </w:divBdr>
    </w:div>
    <w:div w:id="344328240">
      <w:bodyDiv w:val="1"/>
      <w:marLeft w:val="0"/>
      <w:marRight w:val="0"/>
      <w:marTop w:val="0"/>
      <w:marBottom w:val="0"/>
      <w:divBdr>
        <w:top w:val="none" w:sz="0" w:space="0" w:color="auto"/>
        <w:left w:val="none" w:sz="0" w:space="0" w:color="auto"/>
        <w:bottom w:val="none" w:sz="0" w:space="0" w:color="auto"/>
        <w:right w:val="none" w:sz="0" w:space="0" w:color="auto"/>
      </w:divBdr>
      <w:divsChild>
        <w:div w:id="1748073205">
          <w:marLeft w:val="0"/>
          <w:marRight w:val="0"/>
          <w:marTop w:val="0"/>
          <w:marBottom w:val="0"/>
          <w:divBdr>
            <w:top w:val="none" w:sz="0" w:space="0" w:color="auto"/>
            <w:left w:val="none" w:sz="0" w:space="0" w:color="auto"/>
            <w:bottom w:val="none" w:sz="0" w:space="0" w:color="auto"/>
            <w:right w:val="none" w:sz="0" w:space="0" w:color="auto"/>
          </w:divBdr>
          <w:divsChild>
            <w:div w:id="447890816">
              <w:marLeft w:val="0"/>
              <w:marRight w:val="0"/>
              <w:marTop w:val="0"/>
              <w:marBottom w:val="0"/>
              <w:divBdr>
                <w:top w:val="none" w:sz="0" w:space="0" w:color="auto"/>
                <w:left w:val="none" w:sz="0" w:space="0" w:color="auto"/>
                <w:bottom w:val="none" w:sz="0" w:space="0" w:color="auto"/>
                <w:right w:val="none" w:sz="0" w:space="0" w:color="auto"/>
              </w:divBdr>
              <w:divsChild>
                <w:div w:id="481696464">
                  <w:marLeft w:val="0"/>
                  <w:marRight w:val="0"/>
                  <w:marTop w:val="0"/>
                  <w:marBottom w:val="0"/>
                  <w:divBdr>
                    <w:top w:val="none" w:sz="0" w:space="0" w:color="auto"/>
                    <w:left w:val="none" w:sz="0" w:space="0" w:color="auto"/>
                    <w:bottom w:val="none" w:sz="0" w:space="0" w:color="auto"/>
                    <w:right w:val="none" w:sz="0" w:space="0" w:color="auto"/>
                  </w:divBdr>
                  <w:divsChild>
                    <w:div w:id="15378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78887">
          <w:marLeft w:val="0"/>
          <w:marRight w:val="0"/>
          <w:marTop w:val="0"/>
          <w:marBottom w:val="0"/>
          <w:divBdr>
            <w:top w:val="none" w:sz="0" w:space="0" w:color="auto"/>
            <w:left w:val="none" w:sz="0" w:space="0" w:color="auto"/>
            <w:bottom w:val="none" w:sz="0" w:space="0" w:color="auto"/>
            <w:right w:val="none" w:sz="0" w:space="0" w:color="auto"/>
          </w:divBdr>
          <w:divsChild>
            <w:div w:id="846142037">
              <w:marLeft w:val="0"/>
              <w:marRight w:val="0"/>
              <w:marTop w:val="0"/>
              <w:marBottom w:val="0"/>
              <w:divBdr>
                <w:top w:val="none" w:sz="0" w:space="0" w:color="auto"/>
                <w:left w:val="none" w:sz="0" w:space="0" w:color="auto"/>
                <w:bottom w:val="none" w:sz="0" w:space="0" w:color="auto"/>
                <w:right w:val="none" w:sz="0" w:space="0" w:color="auto"/>
              </w:divBdr>
              <w:divsChild>
                <w:div w:id="11937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735">
      <w:bodyDiv w:val="1"/>
      <w:marLeft w:val="0"/>
      <w:marRight w:val="0"/>
      <w:marTop w:val="0"/>
      <w:marBottom w:val="0"/>
      <w:divBdr>
        <w:top w:val="none" w:sz="0" w:space="0" w:color="auto"/>
        <w:left w:val="none" w:sz="0" w:space="0" w:color="auto"/>
        <w:bottom w:val="none" w:sz="0" w:space="0" w:color="auto"/>
        <w:right w:val="none" w:sz="0" w:space="0" w:color="auto"/>
      </w:divBdr>
      <w:divsChild>
        <w:div w:id="2075346075">
          <w:marLeft w:val="0"/>
          <w:marRight w:val="0"/>
          <w:marTop w:val="0"/>
          <w:marBottom w:val="0"/>
          <w:divBdr>
            <w:top w:val="none" w:sz="0" w:space="0" w:color="auto"/>
            <w:left w:val="none" w:sz="0" w:space="0" w:color="auto"/>
            <w:bottom w:val="none" w:sz="0" w:space="0" w:color="auto"/>
            <w:right w:val="none" w:sz="0" w:space="0" w:color="auto"/>
          </w:divBdr>
          <w:divsChild>
            <w:div w:id="1898081791">
              <w:marLeft w:val="0"/>
              <w:marRight w:val="0"/>
              <w:marTop w:val="0"/>
              <w:marBottom w:val="0"/>
              <w:divBdr>
                <w:top w:val="none" w:sz="0" w:space="0" w:color="auto"/>
                <w:left w:val="none" w:sz="0" w:space="0" w:color="auto"/>
                <w:bottom w:val="none" w:sz="0" w:space="0" w:color="auto"/>
                <w:right w:val="none" w:sz="0" w:space="0" w:color="auto"/>
              </w:divBdr>
              <w:divsChild>
                <w:div w:id="277837308">
                  <w:marLeft w:val="0"/>
                  <w:marRight w:val="0"/>
                  <w:marTop w:val="0"/>
                  <w:marBottom w:val="0"/>
                  <w:divBdr>
                    <w:top w:val="none" w:sz="0" w:space="0" w:color="auto"/>
                    <w:left w:val="none" w:sz="0" w:space="0" w:color="auto"/>
                    <w:bottom w:val="none" w:sz="0" w:space="0" w:color="auto"/>
                    <w:right w:val="none" w:sz="0" w:space="0" w:color="auto"/>
                  </w:divBdr>
                  <w:divsChild>
                    <w:div w:id="7934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01277">
          <w:marLeft w:val="0"/>
          <w:marRight w:val="0"/>
          <w:marTop w:val="0"/>
          <w:marBottom w:val="0"/>
          <w:divBdr>
            <w:top w:val="none" w:sz="0" w:space="0" w:color="auto"/>
            <w:left w:val="none" w:sz="0" w:space="0" w:color="auto"/>
            <w:bottom w:val="none" w:sz="0" w:space="0" w:color="auto"/>
            <w:right w:val="none" w:sz="0" w:space="0" w:color="auto"/>
          </w:divBdr>
          <w:divsChild>
            <w:div w:id="757094882">
              <w:marLeft w:val="0"/>
              <w:marRight w:val="0"/>
              <w:marTop w:val="0"/>
              <w:marBottom w:val="0"/>
              <w:divBdr>
                <w:top w:val="none" w:sz="0" w:space="0" w:color="auto"/>
                <w:left w:val="none" w:sz="0" w:space="0" w:color="auto"/>
                <w:bottom w:val="none" w:sz="0" w:space="0" w:color="auto"/>
                <w:right w:val="none" w:sz="0" w:space="0" w:color="auto"/>
              </w:divBdr>
              <w:divsChild>
                <w:div w:id="9147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de.wib.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F63POi491U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2287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Ostafińska</dc:creator>
  <cp:keywords/>
  <dc:description/>
  <cp:lastModifiedBy>Marta Ostafińska</cp:lastModifiedBy>
  <cp:revision>4</cp:revision>
  <dcterms:created xsi:type="dcterms:W3CDTF">2024-04-23T08:42:00Z</dcterms:created>
  <dcterms:modified xsi:type="dcterms:W3CDTF">2024-04-23T09:09:00Z</dcterms:modified>
</cp:coreProperties>
</file>